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BA06" w14:textId="77777777" w:rsidR="007C3964" w:rsidRDefault="007C3964" w:rsidP="00BB088D">
      <w:pPr>
        <w:spacing w:line="480" w:lineRule="auto"/>
        <w:jc w:val="center"/>
        <w:rPr>
          <w:rFonts w:ascii="Times New Roman" w:hAnsi="Times New Roman" w:cs="Times New Roman"/>
        </w:rPr>
      </w:pPr>
    </w:p>
    <w:p w14:paraId="3E2CF21C" w14:textId="77777777" w:rsidR="00BB088D" w:rsidRDefault="00BB088D" w:rsidP="00BB088D">
      <w:pPr>
        <w:spacing w:line="480" w:lineRule="auto"/>
        <w:jc w:val="center"/>
        <w:rPr>
          <w:rFonts w:ascii="Times New Roman" w:hAnsi="Times New Roman" w:cs="Times New Roman"/>
        </w:rPr>
      </w:pPr>
    </w:p>
    <w:p w14:paraId="08170A74" w14:textId="77777777" w:rsidR="00BB088D" w:rsidRDefault="00BB088D" w:rsidP="00BB088D">
      <w:pPr>
        <w:spacing w:line="480" w:lineRule="auto"/>
        <w:jc w:val="center"/>
        <w:rPr>
          <w:rFonts w:ascii="Times New Roman" w:hAnsi="Times New Roman" w:cs="Times New Roman"/>
        </w:rPr>
      </w:pPr>
    </w:p>
    <w:p w14:paraId="3D7847C8" w14:textId="77777777" w:rsidR="00BB088D" w:rsidRDefault="00BB088D" w:rsidP="00BB088D">
      <w:pPr>
        <w:spacing w:line="480" w:lineRule="auto"/>
        <w:jc w:val="center"/>
        <w:rPr>
          <w:rFonts w:ascii="Times New Roman" w:hAnsi="Times New Roman" w:cs="Times New Roman"/>
        </w:rPr>
      </w:pPr>
    </w:p>
    <w:p w14:paraId="5A1D0C31" w14:textId="6EF1583A" w:rsidR="00BB088D" w:rsidRPr="00BB088D" w:rsidRDefault="00BB088D" w:rsidP="00BB088D">
      <w:pPr>
        <w:spacing w:line="480" w:lineRule="auto"/>
        <w:jc w:val="center"/>
        <w:rPr>
          <w:rFonts w:ascii="Times New Roman" w:hAnsi="Times New Roman" w:cs="Times New Roman"/>
          <w:b/>
          <w:bCs/>
        </w:rPr>
      </w:pPr>
      <w:bookmarkStart w:id="0" w:name="OLE_LINK1"/>
      <w:bookmarkStart w:id="1" w:name="OLE_LINK2"/>
      <w:r w:rsidRPr="00BB088D">
        <w:rPr>
          <w:rFonts w:ascii="Times New Roman" w:hAnsi="Times New Roman" w:cs="Times New Roman"/>
          <w:b/>
          <w:bCs/>
        </w:rPr>
        <w:t xml:space="preserve">Student Speech and School Authority: An Analysis of </w:t>
      </w:r>
      <w:r w:rsidRPr="00BB088D">
        <w:rPr>
          <w:rFonts w:ascii="Times New Roman" w:hAnsi="Times New Roman" w:cs="Times New Roman"/>
          <w:b/>
          <w:bCs/>
          <w:i/>
          <w:iCs/>
        </w:rPr>
        <w:t>Tinker v. De Moines Independent Community School District</w:t>
      </w:r>
    </w:p>
    <w:bookmarkEnd w:id="0"/>
    <w:bookmarkEnd w:id="1"/>
    <w:p w14:paraId="5360B3F4" w14:textId="77777777" w:rsidR="00BB088D" w:rsidRDefault="00BB088D" w:rsidP="00BB088D">
      <w:pPr>
        <w:spacing w:line="480" w:lineRule="auto"/>
        <w:jc w:val="center"/>
        <w:rPr>
          <w:rFonts w:ascii="Times New Roman" w:hAnsi="Times New Roman" w:cs="Times New Roman"/>
        </w:rPr>
      </w:pPr>
    </w:p>
    <w:p w14:paraId="3904F750" w14:textId="54BF1D5F" w:rsidR="00BB088D" w:rsidRDefault="00BB088D" w:rsidP="00BB088D">
      <w:pPr>
        <w:spacing w:line="480" w:lineRule="auto"/>
        <w:jc w:val="center"/>
        <w:rPr>
          <w:rFonts w:ascii="Times New Roman" w:hAnsi="Times New Roman" w:cs="Times New Roman"/>
        </w:rPr>
      </w:pPr>
      <w:r>
        <w:rPr>
          <w:rFonts w:ascii="Times New Roman" w:hAnsi="Times New Roman" w:cs="Times New Roman"/>
        </w:rPr>
        <w:t>Abigail Kennelly</w:t>
      </w:r>
    </w:p>
    <w:p w14:paraId="1B399F68" w14:textId="77777777" w:rsidR="00BB088D" w:rsidRDefault="00BB088D" w:rsidP="00BB088D">
      <w:pPr>
        <w:spacing w:line="480" w:lineRule="auto"/>
        <w:jc w:val="center"/>
        <w:rPr>
          <w:rFonts w:ascii="Times New Roman" w:hAnsi="Times New Roman" w:cs="Times New Roman"/>
        </w:rPr>
      </w:pPr>
      <w:r>
        <w:rPr>
          <w:rFonts w:ascii="Times New Roman" w:hAnsi="Times New Roman" w:cs="Times New Roman"/>
        </w:rPr>
        <w:t>Department of Education, Keiser University</w:t>
      </w:r>
    </w:p>
    <w:p w14:paraId="423588A1" w14:textId="5CEB99D6" w:rsidR="00BB088D" w:rsidRDefault="00BB088D" w:rsidP="00BB088D">
      <w:pPr>
        <w:spacing w:line="480" w:lineRule="auto"/>
        <w:jc w:val="center"/>
        <w:rPr>
          <w:rFonts w:ascii="Times New Roman" w:hAnsi="Times New Roman" w:cs="Times New Roman"/>
        </w:rPr>
      </w:pPr>
      <w:r>
        <w:rPr>
          <w:rFonts w:ascii="Times New Roman" w:hAnsi="Times New Roman" w:cs="Times New Roman"/>
        </w:rPr>
        <w:t>EDU515G1: Law in Education</w:t>
      </w:r>
    </w:p>
    <w:p w14:paraId="3573F5B1" w14:textId="6E896FEF" w:rsidR="00BB088D" w:rsidRDefault="00BB088D" w:rsidP="00BB088D">
      <w:pPr>
        <w:spacing w:line="480" w:lineRule="auto"/>
        <w:jc w:val="center"/>
        <w:rPr>
          <w:rFonts w:ascii="Times New Roman" w:hAnsi="Times New Roman" w:cs="Times New Roman"/>
        </w:rPr>
      </w:pPr>
      <w:r>
        <w:rPr>
          <w:rFonts w:ascii="Times New Roman" w:hAnsi="Times New Roman" w:cs="Times New Roman"/>
        </w:rPr>
        <w:t>Dr. Steve Roth</w:t>
      </w:r>
    </w:p>
    <w:p w14:paraId="49E4F228" w14:textId="4424C3DA" w:rsidR="00BB088D" w:rsidRDefault="00BB088D" w:rsidP="00BB088D">
      <w:pPr>
        <w:spacing w:line="480" w:lineRule="auto"/>
        <w:jc w:val="center"/>
        <w:rPr>
          <w:rFonts w:ascii="Times New Roman" w:hAnsi="Times New Roman" w:cs="Times New Roman"/>
        </w:rPr>
      </w:pPr>
      <w:r>
        <w:rPr>
          <w:rFonts w:ascii="Times New Roman" w:hAnsi="Times New Roman" w:cs="Times New Roman"/>
        </w:rPr>
        <w:t>May 17, 2026</w:t>
      </w:r>
    </w:p>
    <w:p w14:paraId="5C94492D" w14:textId="3FC8225B" w:rsidR="00BB088D" w:rsidRDefault="00BB088D">
      <w:pPr>
        <w:rPr>
          <w:rFonts w:ascii="Times New Roman" w:hAnsi="Times New Roman" w:cs="Times New Roman"/>
        </w:rPr>
      </w:pPr>
      <w:r>
        <w:rPr>
          <w:rFonts w:ascii="Times New Roman" w:hAnsi="Times New Roman" w:cs="Times New Roman"/>
        </w:rPr>
        <w:br w:type="page"/>
      </w:r>
    </w:p>
    <w:p w14:paraId="1E04EB88" w14:textId="77777777" w:rsidR="00BB088D" w:rsidRPr="00BB088D" w:rsidRDefault="00BB088D" w:rsidP="00BB088D">
      <w:pPr>
        <w:spacing w:line="480" w:lineRule="auto"/>
        <w:jc w:val="center"/>
        <w:rPr>
          <w:rFonts w:ascii="Times New Roman" w:hAnsi="Times New Roman" w:cs="Times New Roman"/>
          <w:b/>
          <w:bCs/>
        </w:rPr>
      </w:pPr>
      <w:r w:rsidRPr="00BB088D">
        <w:rPr>
          <w:rFonts w:ascii="Times New Roman" w:hAnsi="Times New Roman" w:cs="Times New Roman"/>
          <w:b/>
          <w:bCs/>
        </w:rPr>
        <w:lastRenderedPageBreak/>
        <w:t xml:space="preserve">Student Speech and School Authority: An Analysis of </w:t>
      </w:r>
      <w:r w:rsidRPr="00BB088D">
        <w:rPr>
          <w:rFonts w:ascii="Times New Roman" w:hAnsi="Times New Roman" w:cs="Times New Roman"/>
          <w:b/>
          <w:bCs/>
          <w:i/>
          <w:iCs/>
        </w:rPr>
        <w:t>Tinker v. De Moines Independent Community School District</w:t>
      </w:r>
    </w:p>
    <w:p w14:paraId="7BDAE32F" w14:textId="778E4B43" w:rsidR="00BB088D" w:rsidRDefault="00BB088D" w:rsidP="00BB088D">
      <w:pPr>
        <w:spacing w:line="480" w:lineRule="auto"/>
        <w:rPr>
          <w:rFonts w:ascii="Times New Roman" w:hAnsi="Times New Roman" w:cs="Times New Roman"/>
        </w:rPr>
      </w:pPr>
      <w:r>
        <w:rPr>
          <w:rFonts w:ascii="Times New Roman" w:hAnsi="Times New Roman" w:cs="Times New Roman"/>
        </w:rPr>
        <w:tab/>
        <w:t xml:space="preserve">The United States Supreme Court’s decision in </w:t>
      </w:r>
      <w:r w:rsidRPr="00BB088D">
        <w:rPr>
          <w:rFonts w:ascii="Times New Roman" w:hAnsi="Times New Roman" w:cs="Times New Roman"/>
          <w:i/>
          <w:iCs/>
        </w:rPr>
        <w:t>Tinker v. Des Moines Independent Community School District (1969)</w:t>
      </w:r>
      <w:r>
        <w:rPr>
          <w:rFonts w:ascii="Times New Roman" w:hAnsi="Times New Roman" w:cs="Times New Roman"/>
          <w:i/>
          <w:iCs/>
        </w:rPr>
        <w:t xml:space="preserve"> </w:t>
      </w:r>
      <w:r>
        <w:rPr>
          <w:rFonts w:ascii="Times New Roman" w:hAnsi="Times New Roman" w:cs="Times New Roman"/>
        </w:rPr>
        <w:t xml:space="preserve">is one of the most influential student rights cases in education law. The case addresses whether public school students could be disciplined for wearing black armbands to protest the Vietnam War, and whether students “shed their constitutional rights of freedom of speech or expression at the school.” The Court’s ruling set a foundational standard for when and how schools may regulate student speech and clarified the relationship between student First Amendment rights and state control over public education. </w:t>
      </w:r>
      <w:r w:rsidR="00C37325">
        <w:rPr>
          <w:rFonts w:ascii="Times New Roman" w:hAnsi="Times New Roman" w:cs="Times New Roman"/>
        </w:rPr>
        <w:t xml:space="preserve">This paper examines and summarizes the </w:t>
      </w:r>
      <w:r w:rsidR="00C37325" w:rsidRPr="00C37325">
        <w:rPr>
          <w:rFonts w:ascii="Times New Roman" w:hAnsi="Times New Roman" w:cs="Times New Roman"/>
          <w:i/>
          <w:iCs/>
        </w:rPr>
        <w:t>Tinker</w:t>
      </w:r>
      <w:r w:rsidR="00C37325">
        <w:rPr>
          <w:rFonts w:ascii="Times New Roman" w:hAnsi="Times New Roman" w:cs="Times New Roman"/>
        </w:rPr>
        <w:t xml:space="preserve"> case, explaining the factual background, tracing </w:t>
      </w:r>
      <w:r w:rsidR="003819E2">
        <w:rPr>
          <w:rFonts w:ascii="Times New Roman" w:hAnsi="Times New Roman" w:cs="Times New Roman"/>
        </w:rPr>
        <w:t>it</w:t>
      </w:r>
      <w:r w:rsidR="00C37325">
        <w:rPr>
          <w:rFonts w:ascii="Times New Roman" w:hAnsi="Times New Roman" w:cs="Times New Roman"/>
          <w:kern w:val="0"/>
          <w14:ligatures w14:val="none"/>
        </w:rPr>
        <w:t xml:space="preserve">s progression </w:t>
      </w:r>
      <w:r w:rsidR="00CF3293">
        <w:rPr>
          <w:rFonts w:ascii="Times New Roman" w:hAnsi="Times New Roman" w:cs="Times New Roman"/>
          <w:kern w:val="0"/>
          <w14:ligatures w14:val="none"/>
        </w:rPr>
        <w:t xml:space="preserve">through the Courts, analyzing the Supreme Court’s decision and justification regarding state authority over schools, and </w:t>
      </w:r>
      <w:proofErr w:type="gramStart"/>
      <w:r w:rsidR="00CF3293">
        <w:rPr>
          <w:rFonts w:ascii="Times New Roman" w:hAnsi="Times New Roman" w:cs="Times New Roman"/>
          <w:kern w:val="0"/>
          <w14:ligatures w14:val="none"/>
        </w:rPr>
        <w:t>comparing and contrasting</w:t>
      </w:r>
      <w:proofErr w:type="gramEnd"/>
      <w:r w:rsidR="00CF3293">
        <w:rPr>
          <w:rFonts w:ascii="Times New Roman" w:hAnsi="Times New Roman" w:cs="Times New Roman"/>
          <w:kern w:val="0"/>
          <w14:ligatures w14:val="none"/>
        </w:rPr>
        <w:t xml:space="preserve"> the lower courts' decisions with the Supreme Court's.</w:t>
      </w:r>
      <w:r w:rsidR="00C37325">
        <w:rPr>
          <w:rFonts w:ascii="Times New Roman" w:hAnsi="Times New Roman" w:cs="Times New Roman"/>
          <w:kern w:val="0"/>
          <w14:ligatures w14:val="none"/>
        </w:rPr>
        <w:t xml:space="preserve"> This paper also considers a comparable scenario involving student expression in schools and shows why </w:t>
      </w:r>
      <w:r w:rsidR="00C37325" w:rsidRPr="00C37325">
        <w:rPr>
          <w:rFonts w:ascii="Times New Roman" w:hAnsi="Times New Roman" w:cs="Times New Roman"/>
          <w:i/>
          <w:iCs/>
          <w:kern w:val="0"/>
          <w14:ligatures w14:val="none"/>
        </w:rPr>
        <w:t>Tinker</w:t>
      </w:r>
      <w:r w:rsidR="00C37325">
        <w:rPr>
          <w:rFonts w:ascii="Times New Roman" w:hAnsi="Times New Roman" w:cs="Times New Roman"/>
          <w:kern w:val="0"/>
          <w14:ligatures w14:val="none"/>
        </w:rPr>
        <w:t xml:space="preserve"> is considered such a landmark case in education law. </w:t>
      </w:r>
      <w:r w:rsidR="00C37325">
        <w:rPr>
          <w:rFonts w:ascii="Times New Roman" w:hAnsi="Times New Roman" w:cs="Times New Roman"/>
        </w:rPr>
        <w:t xml:space="preserve"> </w:t>
      </w:r>
    </w:p>
    <w:p w14:paraId="45C0C2CA" w14:textId="5CCD84A3" w:rsidR="00C37325" w:rsidRPr="00C37325" w:rsidRDefault="00C37325" w:rsidP="00C37325">
      <w:pPr>
        <w:spacing w:line="480" w:lineRule="auto"/>
        <w:jc w:val="center"/>
        <w:rPr>
          <w:rFonts w:ascii="Times New Roman" w:hAnsi="Times New Roman" w:cs="Times New Roman"/>
          <w:b/>
          <w:bCs/>
        </w:rPr>
      </w:pPr>
      <w:r w:rsidRPr="00C37325">
        <w:rPr>
          <w:rFonts w:ascii="Times New Roman" w:hAnsi="Times New Roman" w:cs="Times New Roman"/>
          <w:b/>
          <w:bCs/>
        </w:rPr>
        <w:t>Background of the Case</w:t>
      </w:r>
    </w:p>
    <w:p w14:paraId="14253790" w14:textId="589F660B" w:rsidR="00C37325" w:rsidRDefault="00C37325" w:rsidP="00BB088D">
      <w:pPr>
        <w:spacing w:line="480" w:lineRule="auto"/>
        <w:rPr>
          <w:rFonts w:ascii="Times New Roman" w:hAnsi="Times New Roman" w:cs="Times New Roman"/>
        </w:rPr>
      </w:pPr>
      <w:r>
        <w:rPr>
          <w:rFonts w:ascii="Times New Roman" w:hAnsi="Times New Roman" w:cs="Times New Roman"/>
        </w:rPr>
        <w:tab/>
        <w:t xml:space="preserve">In December 1965, a group of students in Des Moines, including John Tinker, his sister Mary Beth Tinker, and friend Christopher Eckhardt, planned to wear black armbands to school to silently protest U.S. involvement in the Vietnam War and support a proposed truce (Tinker v. Des Moines Independent Community School District, n.d.). Prior to the planned protest, principals in Des Moines public schools adopted a policy prohibiting the wearing of armbands in school. Under the policy, students who refused to remove armbands would be suspended until they returned without them. </w:t>
      </w:r>
      <w:r w:rsidR="00610749">
        <w:rPr>
          <w:rFonts w:ascii="Times New Roman" w:hAnsi="Times New Roman" w:cs="Times New Roman"/>
        </w:rPr>
        <w:t xml:space="preserve">On December 16, 1965, Mary Beth and Christopher wore black armbands to their schools; John wore his armband the following day. When they refused to remove the </w:t>
      </w:r>
      <w:r w:rsidR="00610749">
        <w:rPr>
          <w:rFonts w:ascii="Times New Roman" w:hAnsi="Times New Roman" w:cs="Times New Roman"/>
        </w:rPr>
        <w:lastRenderedPageBreak/>
        <w:t xml:space="preserve">armbands, school officials suspended them. The students stayed out of school until after the holiday season, when the protest was over, and then returned without the armbands. The suspensions were not based on any disruption actually caused by the armbands, but on the possibility that the symbolic protests would provoke disturbance or controversy. Believing that the suspension violated their First Amendment rights to freedom of speech, the students and their parents filed a lawsuit in federal court. They argued that the armband policy was an unconstitutional restriction on symbolic speech in violation of the First </w:t>
      </w:r>
      <w:r w:rsidR="00725E99">
        <w:rPr>
          <w:rFonts w:ascii="Times New Roman" w:hAnsi="Times New Roman" w:cs="Times New Roman"/>
        </w:rPr>
        <w:t xml:space="preserve">and Fourteenth </w:t>
      </w:r>
      <w:r w:rsidR="00610749">
        <w:rPr>
          <w:rFonts w:ascii="Times New Roman" w:hAnsi="Times New Roman" w:cs="Times New Roman"/>
        </w:rPr>
        <w:t>Amendment</w:t>
      </w:r>
      <w:r w:rsidR="00725E99">
        <w:rPr>
          <w:rFonts w:ascii="Times New Roman" w:hAnsi="Times New Roman" w:cs="Times New Roman"/>
        </w:rPr>
        <w:t>s</w:t>
      </w:r>
      <w:r w:rsidR="00610749">
        <w:rPr>
          <w:rFonts w:ascii="Times New Roman" w:hAnsi="Times New Roman" w:cs="Times New Roman"/>
        </w:rPr>
        <w:t xml:space="preserve">. </w:t>
      </w:r>
    </w:p>
    <w:p w14:paraId="2DAA6747" w14:textId="04B9B976" w:rsidR="00610749" w:rsidRPr="00610749" w:rsidRDefault="00610749" w:rsidP="00610749">
      <w:pPr>
        <w:spacing w:line="480" w:lineRule="auto"/>
        <w:jc w:val="center"/>
        <w:rPr>
          <w:rFonts w:ascii="Times New Roman" w:hAnsi="Times New Roman" w:cs="Times New Roman"/>
          <w:b/>
          <w:bCs/>
        </w:rPr>
      </w:pPr>
      <w:r w:rsidRPr="00610749">
        <w:rPr>
          <w:rFonts w:ascii="Times New Roman" w:hAnsi="Times New Roman" w:cs="Times New Roman"/>
          <w:b/>
          <w:bCs/>
        </w:rPr>
        <w:t>Progression of the Case Through the Courts</w:t>
      </w:r>
    </w:p>
    <w:p w14:paraId="53C3295F" w14:textId="5890E933" w:rsidR="00610749" w:rsidRPr="00610749" w:rsidRDefault="00610749" w:rsidP="00BB088D">
      <w:pPr>
        <w:spacing w:line="480" w:lineRule="auto"/>
        <w:rPr>
          <w:rFonts w:ascii="Times New Roman" w:hAnsi="Times New Roman" w:cs="Times New Roman"/>
          <w:b/>
          <w:bCs/>
        </w:rPr>
      </w:pPr>
      <w:r w:rsidRPr="00610749">
        <w:rPr>
          <w:rFonts w:ascii="Times New Roman" w:hAnsi="Times New Roman" w:cs="Times New Roman"/>
          <w:b/>
          <w:bCs/>
        </w:rPr>
        <w:t>Federal District Court Decision</w:t>
      </w:r>
    </w:p>
    <w:p w14:paraId="6691C82D" w14:textId="0ED0EC0D" w:rsidR="00610749" w:rsidRDefault="00610749" w:rsidP="00BB088D">
      <w:pPr>
        <w:spacing w:line="480" w:lineRule="auto"/>
        <w:rPr>
          <w:rFonts w:ascii="Times New Roman" w:hAnsi="Times New Roman" w:cs="Times New Roman"/>
        </w:rPr>
      </w:pPr>
      <w:r>
        <w:rPr>
          <w:rFonts w:ascii="Times New Roman" w:hAnsi="Times New Roman" w:cs="Times New Roman"/>
        </w:rPr>
        <w:tab/>
        <w:t xml:space="preserve">The case was first heard in the United States District Court for the Southern District of Iowa. The district court upheld the school district’s policy </w:t>
      </w:r>
      <w:r w:rsidR="001B09DE">
        <w:rPr>
          <w:rFonts w:ascii="Times New Roman" w:hAnsi="Times New Roman" w:cs="Times New Roman"/>
        </w:rPr>
        <w:t xml:space="preserve">and ruled in favor of the Des Moines Independent Community School District. The court accepted the school’s argument that the policy was a reasonable exercise of school authority aimed at </w:t>
      </w:r>
      <w:r w:rsidR="00CF3293">
        <w:rPr>
          <w:rFonts w:ascii="Times New Roman" w:hAnsi="Times New Roman" w:cs="Times New Roman"/>
        </w:rPr>
        <w:t>avoiding possible</w:t>
      </w:r>
      <w:r w:rsidR="001B09DE">
        <w:rPr>
          <w:rFonts w:ascii="Times New Roman" w:hAnsi="Times New Roman" w:cs="Times New Roman"/>
        </w:rPr>
        <w:t xml:space="preserve"> disruption </w:t>
      </w:r>
      <w:bookmarkStart w:id="2" w:name="OLE_LINK9"/>
      <w:bookmarkStart w:id="3" w:name="OLE_LINK10"/>
      <w:r w:rsidR="001B09DE">
        <w:rPr>
          <w:rFonts w:ascii="Times New Roman" w:hAnsi="Times New Roman" w:cs="Times New Roman"/>
        </w:rPr>
        <w:t>(Tinker v. Des Moines Independent Community School District, n.d.)</w:t>
      </w:r>
      <w:bookmarkEnd w:id="2"/>
      <w:bookmarkEnd w:id="3"/>
      <w:r w:rsidR="001B09DE">
        <w:rPr>
          <w:rFonts w:ascii="Times New Roman" w:hAnsi="Times New Roman" w:cs="Times New Roman"/>
        </w:rPr>
        <w:t xml:space="preserve">. From the </w:t>
      </w:r>
      <w:r w:rsidR="00CF3293">
        <w:rPr>
          <w:rFonts w:ascii="Times New Roman" w:hAnsi="Times New Roman" w:cs="Times New Roman"/>
        </w:rPr>
        <w:t xml:space="preserve">perspective of the </w:t>
      </w:r>
      <w:r w:rsidR="001B09DE">
        <w:rPr>
          <w:rFonts w:ascii="Times New Roman" w:hAnsi="Times New Roman" w:cs="Times New Roman"/>
        </w:rPr>
        <w:t xml:space="preserve">district court, school officials needed the ability to maintain order and discipline in a sensitive political climate. The court gave substantial deference to the administrators’ judgment that controversy over the Vietnam War might lead to disturbance, even though no substantial disturbance had </w:t>
      </w:r>
      <w:proofErr w:type="gramStart"/>
      <w:r w:rsidR="001B09DE">
        <w:rPr>
          <w:rFonts w:ascii="Times New Roman" w:hAnsi="Times New Roman" w:cs="Times New Roman"/>
        </w:rPr>
        <w:t>actually occurred</w:t>
      </w:r>
      <w:proofErr w:type="gramEnd"/>
      <w:r w:rsidR="001B09DE">
        <w:rPr>
          <w:rFonts w:ascii="Times New Roman" w:hAnsi="Times New Roman" w:cs="Times New Roman"/>
        </w:rPr>
        <w:t xml:space="preserve"> during the brief time the armbands were worn. </w:t>
      </w:r>
    </w:p>
    <w:p w14:paraId="6EB37F81" w14:textId="63864CB3" w:rsidR="001B09DE" w:rsidRPr="00725E99" w:rsidRDefault="001B09DE" w:rsidP="00BB088D">
      <w:pPr>
        <w:spacing w:line="480" w:lineRule="auto"/>
        <w:rPr>
          <w:rFonts w:ascii="Times New Roman" w:hAnsi="Times New Roman" w:cs="Times New Roman"/>
          <w:b/>
          <w:bCs/>
        </w:rPr>
      </w:pPr>
      <w:r w:rsidRPr="00725E99">
        <w:rPr>
          <w:rFonts w:ascii="Times New Roman" w:hAnsi="Times New Roman" w:cs="Times New Roman"/>
          <w:b/>
          <w:bCs/>
        </w:rPr>
        <w:t>Eighth Circuit Court of Appeals</w:t>
      </w:r>
    </w:p>
    <w:p w14:paraId="5D67BEE5" w14:textId="1D1FED33" w:rsidR="001B09DE" w:rsidRDefault="001B09DE" w:rsidP="00BB088D">
      <w:pPr>
        <w:spacing w:line="480" w:lineRule="auto"/>
        <w:rPr>
          <w:rFonts w:ascii="Times New Roman" w:hAnsi="Times New Roman" w:cs="Times New Roman"/>
        </w:rPr>
      </w:pPr>
      <w:r>
        <w:rPr>
          <w:rFonts w:ascii="Times New Roman" w:hAnsi="Times New Roman" w:cs="Times New Roman"/>
        </w:rPr>
        <w:tab/>
        <w:t xml:space="preserve">The students appealed, and the case went to the United States Court of Appeals for the Eighth Circuit. The court was evenly divided, </w:t>
      </w:r>
      <w:r w:rsidR="00725E99">
        <w:rPr>
          <w:rFonts w:ascii="Times New Roman" w:hAnsi="Times New Roman" w:cs="Times New Roman"/>
        </w:rPr>
        <w:t xml:space="preserve">and </w:t>
      </w:r>
      <w:r>
        <w:rPr>
          <w:rFonts w:ascii="Times New Roman" w:hAnsi="Times New Roman" w:cs="Times New Roman"/>
        </w:rPr>
        <w:t>because the judge</w:t>
      </w:r>
      <w:r w:rsidR="00725E99">
        <w:rPr>
          <w:rFonts w:ascii="Times New Roman" w:hAnsi="Times New Roman" w:cs="Times New Roman"/>
        </w:rPr>
        <w:t>s</w:t>
      </w:r>
      <w:r>
        <w:rPr>
          <w:rFonts w:ascii="Times New Roman" w:hAnsi="Times New Roman" w:cs="Times New Roman"/>
        </w:rPr>
        <w:t xml:space="preserve"> were split, the </w:t>
      </w:r>
      <w:r w:rsidR="00CF3293">
        <w:rPr>
          <w:rFonts w:ascii="Times New Roman" w:hAnsi="Times New Roman" w:cs="Times New Roman"/>
        </w:rPr>
        <w:t xml:space="preserve">decision of the </w:t>
      </w:r>
      <w:r>
        <w:rPr>
          <w:rFonts w:ascii="Times New Roman" w:hAnsi="Times New Roman" w:cs="Times New Roman"/>
        </w:rPr>
        <w:t xml:space="preserve">district court was effectively affirmed without an opinion. </w:t>
      </w:r>
      <w:r w:rsidR="00725E99">
        <w:rPr>
          <w:rFonts w:ascii="Times New Roman" w:hAnsi="Times New Roman" w:cs="Times New Roman"/>
        </w:rPr>
        <w:t xml:space="preserve">This meant that the </w:t>
      </w:r>
      <w:r w:rsidR="00CF3293">
        <w:rPr>
          <w:rFonts w:ascii="Times New Roman" w:hAnsi="Times New Roman" w:cs="Times New Roman"/>
        </w:rPr>
        <w:t xml:space="preserve">ruling of the </w:t>
      </w:r>
      <w:r w:rsidR="00725E99">
        <w:rPr>
          <w:rFonts w:ascii="Times New Roman" w:hAnsi="Times New Roman" w:cs="Times New Roman"/>
        </w:rPr>
        <w:lastRenderedPageBreak/>
        <w:t xml:space="preserve">district court in favor of the school district remained in </w:t>
      </w:r>
      <w:r w:rsidR="00CF3293">
        <w:rPr>
          <w:rFonts w:ascii="Times New Roman" w:hAnsi="Times New Roman" w:cs="Times New Roman"/>
        </w:rPr>
        <w:t>effect</w:t>
      </w:r>
      <w:r w:rsidR="00725E99">
        <w:rPr>
          <w:rFonts w:ascii="Times New Roman" w:hAnsi="Times New Roman" w:cs="Times New Roman"/>
        </w:rPr>
        <w:t xml:space="preserve">, but there was no clear appellate reasoning to guide future cases. The tie at the Eighth Circuit </w:t>
      </w:r>
      <w:r w:rsidR="00CF3293">
        <w:rPr>
          <w:rFonts w:ascii="Times New Roman" w:hAnsi="Times New Roman" w:cs="Times New Roman"/>
        </w:rPr>
        <w:t>brought out</w:t>
      </w:r>
      <w:r w:rsidR="00725E99">
        <w:rPr>
          <w:rFonts w:ascii="Times New Roman" w:hAnsi="Times New Roman" w:cs="Times New Roman"/>
        </w:rPr>
        <w:t xml:space="preserve"> the legal uncertainty </w:t>
      </w:r>
      <w:r w:rsidR="00CF3293">
        <w:rPr>
          <w:rFonts w:ascii="Times New Roman" w:hAnsi="Times New Roman" w:cs="Times New Roman"/>
        </w:rPr>
        <w:t xml:space="preserve">around </w:t>
      </w:r>
      <w:r w:rsidR="00725E99">
        <w:rPr>
          <w:rFonts w:ascii="Times New Roman" w:hAnsi="Times New Roman" w:cs="Times New Roman"/>
        </w:rPr>
        <w:t xml:space="preserve">student speech rights at the time. Some judges were inclined to give strong deference to school authorities, while others believed that constitutional protections </w:t>
      </w:r>
      <w:r w:rsidR="00CF3293">
        <w:rPr>
          <w:rFonts w:ascii="Times New Roman" w:hAnsi="Times New Roman" w:cs="Times New Roman"/>
        </w:rPr>
        <w:t>must</w:t>
      </w:r>
      <w:r w:rsidR="00725E99">
        <w:rPr>
          <w:rFonts w:ascii="Times New Roman" w:hAnsi="Times New Roman" w:cs="Times New Roman"/>
        </w:rPr>
        <w:t xml:space="preserve"> follow students into the school setting. This division set the </w:t>
      </w:r>
      <w:r w:rsidR="00CF3293">
        <w:rPr>
          <w:rFonts w:ascii="Times New Roman" w:hAnsi="Times New Roman" w:cs="Times New Roman"/>
        </w:rPr>
        <w:t>groundwork</w:t>
      </w:r>
      <w:r w:rsidR="00725E99">
        <w:rPr>
          <w:rFonts w:ascii="Times New Roman" w:hAnsi="Times New Roman" w:cs="Times New Roman"/>
        </w:rPr>
        <w:t xml:space="preserve"> for the Supreme Court to resolve the conflict. </w:t>
      </w:r>
    </w:p>
    <w:p w14:paraId="179262AC" w14:textId="240EDD26" w:rsidR="00725E99" w:rsidRPr="00D75399" w:rsidRDefault="00725E99" w:rsidP="00BB088D">
      <w:pPr>
        <w:spacing w:line="480" w:lineRule="auto"/>
        <w:rPr>
          <w:rFonts w:ascii="Times New Roman" w:hAnsi="Times New Roman" w:cs="Times New Roman"/>
          <w:b/>
          <w:bCs/>
        </w:rPr>
      </w:pPr>
      <w:r w:rsidRPr="00D75399">
        <w:rPr>
          <w:rFonts w:ascii="Times New Roman" w:hAnsi="Times New Roman" w:cs="Times New Roman"/>
          <w:b/>
          <w:bCs/>
        </w:rPr>
        <w:t>Review by the United States Supreme Court</w:t>
      </w:r>
    </w:p>
    <w:p w14:paraId="5D0DD2F9" w14:textId="43FFE0CB" w:rsidR="00725E99" w:rsidRDefault="00D75399"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The students petitioned for certiorari, and the United States Supreme Court agreed to hear the case. Oral arguments were held in 1968, and in 1969 the Court issued a landmark decision. The Court considered whether public school officials could prohibit students from wearing armbands as a form of symbolic protest without violating the students’ First Amendment rights. The Court’s review elevated the case from a local dispute over school discipline to a national test of the balance between individual constitutional liberties and the state’s authority to regulate public education. </w:t>
      </w:r>
    </w:p>
    <w:p w14:paraId="51690849" w14:textId="6E726A9C" w:rsidR="00D75399" w:rsidRPr="00D75399" w:rsidRDefault="00D75399" w:rsidP="00D75399">
      <w:pPr>
        <w:spacing w:line="480" w:lineRule="auto"/>
        <w:jc w:val="center"/>
        <w:rPr>
          <w:rFonts w:ascii="Times New Roman" w:hAnsi="Times New Roman" w:cs="Times New Roman"/>
          <w:b/>
          <w:bCs/>
          <w:kern w:val="0"/>
          <w14:ligatures w14:val="none"/>
        </w:rPr>
      </w:pPr>
      <w:r w:rsidRPr="00D75399">
        <w:rPr>
          <w:rFonts w:ascii="Times New Roman" w:hAnsi="Times New Roman" w:cs="Times New Roman"/>
          <w:b/>
          <w:bCs/>
          <w:kern w:val="0"/>
          <w14:ligatures w14:val="none"/>
        </w:rPr>
        <w:t>Supreme Court Decision and Justification</w:t>
      </w:r>
    </w:p>
    <w:p w14:paraId="1F3BD0E9" w14:textId="7F1B2916" w:rsidR="00D75399" w:rsidRPr="00D75399" w:rsidRDefault="00D75399" w:rsidP="00BB088D">
      <w:pPr>
        <w:spacing w:line="480" w:lineRule="auto"/>
        <w:rPr>
          <w:rFonts w:ascii="Times New Roman" w:hAnsi="Times New Roman" w:cs="Times New Roman"/>
          <w:b/>
          <w:bCs/>
          <w:kern w:val="0"/>
          <w14:ligatures w14:val="none"/>
        </w:rPr>
      </w:pPr>
      <w:r w:rsidRPr="00D75399">
        <w:rPr>
          <w:rFonts w:ascii="Times New Roman" w:hAnsi="Times New Roman" w:cs="Times New Roman"/>
          <w:b/>
          <w:bCs/>
          <w:kern w:val="0"/>
          <w14:ligatures w14:val="none"/>
        </w:rPr>
        <w:t>The Majority Opinion</w:t>
      </w:r>
    </w:p>
    <w:p w14:paraId="4B2DE4EE" w14:textId="34DAFBA0" w:rsidR="00D75399" w:rsidRDefault="008644D0"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In a 7-2 decision, the Supreme Court ruled in favor of the students. Writing for the majority, Justice Fortas held that the school district’s policy violated the students’ First Amendment rights. The Court famously declared that students do not “shed their constitutional rights to freedom of speech or expression at the school” (</w:t>
      </w:r>
      <w:bookmarkStart w:id="4" w:name="OLE_LINK5"/>
      <w:bookmarkStart w:id="5" w:name="OLE_LINK6"/>
      <w:r>
        <w:rPr>
          <w:rFonts w:ascii="Times New Roman" w:hAnsi="Times New Roman" w:cs="Times New Roman"/>
          <w:kern w:val="0"/>
          <w14:ligatures w14:val="none"/>
        </w:rPr>
        <w:t>Tinker v. Des Moines Independent Community School District, n.d.).</w:t>
      </w:r>
      <w:bookmarkEnd w:id="4"/>
      <w:bookmarkEnd w:id="5"/>
      <w:r>
        <w:rPr>
          <w:rFonts w:ascii="Times New Roman" w:hAnsi="Times New Roman" w:cs="Times New Roman"/>
          <w:kern w:val="0"/>
          <w14:ligatures w14:val="none"/>
        </w:rPr>
        <w:t xml:space="preserve"> The Court recognized that wearing black armbands was a form of symbolic speech intended to convey a political message. Since this expression was silent, passive, and non-disruptive, it fell within the protection of the First Amendment. The </w:t>
      </w:r>
      <w:r>
        <w:rPr>
          <w:rFonts w:ascii="Times New Roman" w:hAnsi="Times New Roman" w:cs="Times New Roman"/>
          <w:kern w:val="0"/>
          <w14:ligatures w14:val="none"/>
        </w:rPr>
        <w:lastRenderedPageBreak/>
        <w:t>majority emphasized that the school punished the students because of the content of their expression, not because of any actual interference with school operations. Justice Fortas articulated what has come to be known as the “substantial disruption” test. He stated that schools may not suppress student expression unless school officials can reasonably forecast that the conduct would “</w:t>
      </w:r>
      <w:bookmarkStart w:id="6" w:name="OLE_LINK3"/>
      <w:bookmarkStart w:id="7" w:name="OLE_LINK4"/>
      <w:r>
        <w:rPr>
          <w:rFonts w:ascii="Times New Roman" w:hAnsi="Times New Roman" w:cs="Times New Roman"/>
          <w:kern w:val="0"/>
          <w14:ligatures w14:val="none"/>
        </w:rPr>
        <w:t>materially and substantially disrupt the work and discipline of the school</w:t>
      </w:r>
      <w:bookmarkEnd w:id="6"/>
      <w:bookmarkEnd w:id="7"/>
      <w:r>
        <w:rPr>
          <w:rFonts w:ascii="Times New Roman" w:hAnsi="Times New Roman" w:cs="Times New Roman"/>
          <w:kern w:val="0"/>
          <w14:ligatures w14:val="none"/>
        </w:rPr>
        <w:t>” or invade the rights of others (</w:t>
      </w:r>
      <w:proofErr w:type="spellStart"/>
      <w:r>
        <w:rPr>
          <w:rFonts w:ascii="Times New Roman" w:hAnsi="Times New Roman" w:cs="Times New Roman"/>
          <w:kern w:val="0"/>
          <w14:ligatures w14:val="none"/>
        </w:rPr>
        <w:t>Blokhuis</w:t>
      </w:r>
      <w:proofErr w:type="spellEnd"/>
      <w:r>
        <w:rPr>
          <w:rFonts w:ascii="Times New Roman" w:hAnsi="Times New Roman" w:cs="Times New Roman"/>
          <w:kern w:val="0"/>
          <w14:ligatures w14:val="none"/>
        </w:rPr>
        <w:t xml:space="preserve"> et al., 2020). Discomfort with an unpopular viewpoint or a desire to avoid controversy is not enough to justify censorship. </w:t>
      </w:r>
    </w:p>
    <w:p w14:paraId="5CDDE986" w14:textId="72236DE4" w:rsidR="008644D0" w:rsidRPr="00A96C95" w:rsidRDefault="008644D0" w:rsidP="00BB088D">
      <w:pPr>
        <w:spacing w:line="480" w:lineRule="auto"/>
        <w:rPr>
          <w:rFonts w:ascii="Times New Roman" w:hAnsi="Times New Roman" w:cs="Times New Roman"/>
          <w:b/>
          <w:bCs/>
          <w:kern w:val="0"/>
          <w14:ligatures w14:val="none"/>
        </w:rPr>
      </w:pPr>
      <w:r w:rsidRPr="00A96C95">
        <w:rPr>
          <w:rFonts w:ascii="Times New Roman" w:hAnsi="Times New Roman" w:cs="Times New Roman"/>
          <w:b/>
          <w:bCs/>
          <w:kern w:val="0"/>
          <w14:ligatures w14:val="none"/>
        </w:rPr>
        <w:t>Relation to State Control Over Schools</w:t>
      </w:r>
    </w:p>
    <w:p w14:paraId="13803CCB" w14:textId="71D4F5C7" w:rsidR="008644D0" w:rsidRDefault="00A96C95"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majority opinion acknowledged that states, through local school districts, have broad authority to manage public schools and maintain an appropriate educational environment. However, the Court held that this authority is not absolute and must be exercised within constitutional limits. State control over schools does not permit schools to become spaces </w:t>
      </w:r>
      <w:r w:rsidR="00CF3293">
        <w:rPr>
          <w:rFonts w:ascii="Times New Roman" w:hAnsi="Times New Roman" w:cs="Times New Roman"/>
          <w:kern w:val="0"/>
          <w14:ligatures w14:val="none"/>
        </w:rPr>
        <w:t>in which</w:t>
      </w:r>
      <w:r>
        <w:rPr>
          <w:rFonts w:ascii="Times New Roman" w:hAnsi="Times New Roman" w:cs="Times New Roman"/>
          <w:kern w:val="0"/>
          <w14:ligatures w14:val="none"/>
        </w:rPr>
        <w:t xml:space="preserve"> authorities have absolute power over students’ expression or </w:t>
      </w:r>
      <w:r w:rsidR="00CF3293">
        <w:rPr>
          <w:rFonts w:ascii="Times New Roman" w:hAnsi="Times New Roman" w:cs="Times New Roman"/>
          <w:kern w:val="0"/>
          <w14:ligatures w14:val="none"/>
        </w:rPr>
        <w:t>in which</w:t>
      </w:r>
      <w:r>
        <w:rPr>
          <w:rFonts w:ascii="Times New Roman" w:hAnsi="Times New Roman" w:cs="Times New Roman"/>
          <w:kern w:val="0"/>
          <w14:ligatures w14:val="none"/>
        </w:rPr>
        <w:t xml:space="preserve"> students’ basic freedoms are extinguished. In </w:t>
      </w:r>
      <w:r w:rsidRPr="00A96C95">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the </w:t>
      </w:r>
      <w:r w:rsidR="00CF3293">
        <w:rPr>
          <w:rFonts w:ascii="Times New Roman" w:hAnsi="Times New Roman" w:cs="Times New Roman"/>
          <w:kern w:val="0"/>
          <w14:ligatures w14:val="none"/>
        </w:rPr>
        <w:t>c</w:t>
      </w:r>
      <w:r>
        <w:rPr>
          <w:rFonts w:ascii="Times New Roman" w:hAnsi="Times New Roman" w:cs="Times New Roman"/>
          <w:kern w:val="0"/>
          <w14:ligatures w14:val="none"/>
        </w:rPr>
        <w:t xml:space="preserve">ourt drew a clear line: state and local school officials may regulate student </w:t>
      </w:r>
      <w:r w:rsidR="00CF3293">
        <w:rPr>
          <w:rFonts w:ascii="Times New Roman" w:hAnsi="Times New Roman" w:cs="Times New Roman"/>
          <w:kern w:val="0"/>
          <w14:ligatures w14:val="none"/>
        </w:rPr>
        <w:t>behavior</w:t>
      </w:r>
      <w:r>
        <w:rPr>
          <w:rFonts w:ascii="Times New Roman" w:hAnsi="Times New Roman" w:cs="Times New Roman"/>
          <w:kern w:val="0"/>
          <w14:ligatures w14:val="none"/>
        </w:rPr>
        <w:t xml:space="preserve"> when it threatens order, discipline</w:t>
      </w:r>
      <w:r w:rsidR="003968B6">
        <w:rPr>
          <w:rFonts w:ascii="Times New Roman" w:hAnsi="Times New Roman" w:cs="Times New Roman"/>
          <w:kern w:val="0"/>
          <w14:ligatures w14:val="none"/>
        </w:rPr>
        <w:t>,</w:t>
      </w:r>
      <w:r>
        <w:rPr>
          <w:rFonts w:ascii="Times New Roman" w:hAnsi="Times New Roman" w:cs="Times New Roman"/>
          <w:kern w:val="0"/>
          <w14:ligatures w14:val="none"/>
        </w:rPr>
        <w:t xml:space="preserve"> or the rights of others, but they may not prohibit student speech merely because it is controversial, unpopular, or politically sensitive. The decision </w:t>
      </w:r>
      <w:r w:rsidR="003968B6">
        <w:rPr>
          <w:rFonts w:ascii="Times New Roman" w:hAnsi="Times New Roman" w:cs="Times New Roman"/>
          <w:kern w:val="0"/>
          <w14:ligatures w14:val="none"/>
        </w:rPr>
        <w:t>restricted</w:t>
      </w:r>
      <w:r>
        <w:rPr>
          <w:rFonts w:ascii="Times New Roman" w:hAnsi="Times New Roman" w:cs="Times New Roman"/>
          <w:kern w:val="0"/>
          <w14:ligatures w14:val="none"/>
        </w:rPr>
        <w:t xml:space="preserve"> state power in the educational context by insisting that student speech be protected unless it substantially </w:t>
      </w:r>
      <w:r w:rsidR="003968B6">
        <w:rPr>
          <w:rFonts w:ascii="Times New Roman" w:hAnsi="Times New Roman" w:cs="Times New Roman"/>
          <w:kern w:val="0"/>
          <w14:ligatures w14:val="none"/>
        </w:rPr>
        <w:t>interferes with</w:t>
      </w:r>
      <w:r>
        <w:rPr>
          <w:rFonts w:ascii="Times New Roman" w:hAnsi="Times New Roman" w:cs="Times New Roman"/>
          <w:kern w:val="0"/>
          <w14:ligatures w14:val="none"/>
        </w:rPr>
        <w:t xml:space="preserve"> the educational process. </w:t>
      </w:r>
    </w:p>
    <w:p w14:paraId="09F77AB6" w14:textId="4D9B3E4B" w:rsidR="00A96C95" w:rsidRPr="00A96C95" w:rsidRDefault="00A96C95" w:rsidP="00BB088D">
      <w:pPr>
        <w:spacing w:line="480" w:lineRule="auto"/>
        <w:rPr>
          <w:rFonts w:ascii="Times New Roman" w:hAnsi="Times New Roman" w:cs="Times New Roman"/>
          <w:b/>
          <w:bCs/>
          <w:kern w:val="0"/>
          <w14:ligatures w14:val="none"/>
        </w:rPr>
      </w:pPr>
      <w:r w:rsidRPr="00A96C95">
        <w:rPr>
          <w:rFonts w:ascii="Times New Roman" w:hAnsi="Times New Roman" w:cs="Times New Roman"/>
          <w:b/>
          <w:bCs/>
          <w:kern w:val="0"/>
          <w14:ligatures w14:val="none"/>
        </w:rPr>
        <w:t>The Dissents</w:t>
      </w:r>
    </w:p>
    <w:p w14:paraId="542363D1" w14:textId="56BF96CA" w:rsidR="00A96C95" w:rsidRDefault="004F048E"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Two justices dissented. Justice Black argued that the decision unduly limited</w:t>
      </w:r>
      <w:r w:rsidR="003968B6">
        <w:rPr>
          <w:rFonts w:ascii="Times New Roman" w:hAnsi="Times New Roman" w:cs="Times New Roman"/>
          <w:kern w:val="0"/>
          <w14:ligatures w14:val="none"/>
        </w:rPr>
        <w:t xml:space="preserve"> </w:t>
      </w:r>
      <w:r>
        <w:rPr>
          <w:rFonts w:ascii="Times New Roman" w:hAnsi="Times New Roman" w:cs="Times New Roman"/>
          <w:kern w:val="0"/>
          <w14:ligatures w14:val="none"/>
        </w:rPr>
        <w:t>school officials</w:t>
      </w:r>
      <w:r w:rsidR="003968B6">
        <w:rPr>
          <w:rFonts w:ascii="Times New Roman" w:hAnsi="Times New Roman" w:cs="Times New Roman"/>
          <w:kern w:val="0"/>
          <w14:ligatures w14:val="none"/>
        </w:rPr>
        <w:t>’</w:t>
      </w:r>
      <w:r>
        <w:rPr>
          <w:rFonts w:ascii="Times New Roman" w:hAnsi="Times New Roman" w:cs="Times New Roman"/>
          <w:kern w:val="0"/>
          <w14:ligatures w14:val="none"/>
        </w:rPr>
        <w:t xml:space="preserve"> </w:t>
      </w:r>
      <w:r w:rsidR="003968B6">
        <w:rPr>
          <w:rFonts w:ascii="Times New Roman" w:hAnsi="Times New Roman" w:cs="Times New Roman"/>
          <w:kern w:val="0"/>
          <w14:ligatures w14:val="none"/>
        </w:rPr>
        <w:t xml:space="preserve">authority </w:t>
      </w:r>
      <w:r>
        <w:rPr>
          <w:rFonts w:ascii="Times New Roman" w:hAnsi="Times New Roman" w:cs="Times New Roman"/>
          <w:kern w:val="0"/>
          <w14:ligatures w14:val="none"/>
        </w:rPr>
        <w:t xml:space="preserve">and invited judicial interference in routine school discipline. In his view, the presence of armbands could distract from learning and undermine the school’s mission, so the school’s restrictions were reasonable (Tinker v. Des Moines Independent Community School </w:t>
      </w:r>
      <w:r>
        <w:rPr>
          <w:rFonts w:ascii="Times New Roman" w:hAnsi="Times New Roman" w:cs="Times New Roman"/>
          <w:kern w:val="0"/>
          <w14:ligatures w14:val="none"/>
        </w:rPr>
        <w:lastRenderedPageBreak/>
        <w:t xml:space="preserve">District, n.d.). Justice Harlan’s dissent emphasized deference to local school officials. He believed that </w:t>
      </w:r>
      <w:proofErr w:type="gramStart"/>
      <w:r>
        <w:rPr>
          <w:rFonts w:ascii="Times New Roman" w:hAnsi="Times New Roman" w:cs="Times New Roman"/>
          <w:kern w:val="0"/>
          <w14:ligatures w14:val="none"/>
        </w:rPr>
        <w:t>as long as</w:t>
      </w:r>
      <w:proofErr w:type="gramEnd"/>
      <w:r>
        <w:rPr>
          <w:rFonts w:ascii="Times New Roman" w:hAnsi="Times New Roman" w:cs="Times New Roman"/>
          <w:kern w:val="0"/>
          <w14:ligatures w14:val="none"/>
        </w:rPr>
        <w:t xml:space="preserve"> school administrators acted in good faith and on a reasonable basis, courts should be reluctant to second-guess their decisions. Together, the dissents reflect a more expansive view of state and local control over schools, in sharp contrast to the majority’s emphasis on constitutional limits. </w:t>
      </w:r>
    </w:p>
    <w:p w14:paraId="1CE32A31" w14:textId="26537009" w:rsidR="004F048E" w:rsidRDefault="004F048E" w:rsidP="004F048E">
      <w:pPr>
        <w:spacing w:line="480" w:lineRule="auto"/>
        <w:jc w:val="center"/>
        <w:rPr>
          <w:rFonts w:ascii="Times New Roman" w:hAnsi="Times New Roman" w:cs="Times New Roman"/>
          <w:b/>
          <w:bCs/>
          <w:kern w:val="0"/>
          <w14:ligatures w14:val="none"/>
        </w:rPr>
      </w:pPr>
      <w:r>
        <w:rPr>
          <w:rFonts w:ascii="Times New Roman" w:hAnsi="Times New Roman" w:cs="Times New Roman"/>
          <w:b/>
          <w:bCs/>
          <w:kern w:val="0"/>
          <w14:ligatures w14:val="none"/>
        </w:rPr>
        <w:t>Comparing and Contrasting the Court Decisions</w:t>
      </w:r>
    </w:p>
    <w:p w14:paraId="48B160DE" w14:textId="2C58C144" w:rsidR="004F048E" w:rsidRDefault="004F048E"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decisions in Tinker illustrate a clear evolution from broad difference to school authority at the lower court levels toward stronger protection of student speech at the Supreme Court. </w:t>
      </w:r>
    </w:p>
    <w:p w14:paraId="326B70B9" w14:textId="3F7E53E9" w:rsidR="004F048E" w:rsidRPr="003819E2" w:rsidRDefault="004F048E" w:rsidP="00BB088D">
      <w:pPr>
        <w:spacing w:line="480" w:lineRule="auto"/>
        <w:rPr>
          <w:rFonts w:ascii="Times New Roman" w:hAnsi="Times New Roman" w:cs="Times New Roman"/>
          <w:b/>
          <w:bCs/>
          <w:kern w:val="0"/>
          <w14:ligatures w14:val="none"/>
        </w:rPr>
      </w:pPr>
      <w:r w:rsidRPr="003819E2">
        <w:rPr>
          <w:rFonts w:ascii="Times New Roman" w:hAnsi="Times New Roman" w:cs="Times New Roman"/>
          <w:b/>
          <w:bCs/>
          <w:kern w:val="0"/>
          <w14:ligatures w14:val="none"/>
        </w:rPr>
        <w:t>District Court vs. Supreme Court</w:t>
      </w:r>
    </w:p>
    <w:p w14:paraId="1A6723FC" w14:textId="22185B6D" w:rsidR="004F048E" w:rsidRDefault="004F048E"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The district court sided with the school district, essentially accepting the argument that the armbands could cause disruption and that administra</w:t>
      </w:r>
      <w:r w:rsidR="003819E2">
        <w:rPr>
          <w:rFonts w:ascii="Times New Roman" w:hAnsi="Times New Roman" w:cs="Times New Roman"/>
          <w:kern w:val="0"/>
          <w14:ligatures w14:val="none"/>
        </w:rPr>
        <w:t>tor</w:t>
      </w:r>
      <w:r>
        <w:rPr>
          <w:rFonts w:ascii="Times New Roman" w:hAnsi="Times New Roman" w:cs="Times New Roman"/>
          <w:kern w:val="0"/>
          <w14:ligatures w14:val="none"/>
        </w:rPr>
        <w:t xml:space="preserve">s </w:t>
      </w:r>
      <w:r w:rsidR="003819E2">
        <w:rPr>
          <w:rFonts w:ascii="Times New Roman" w:hAnsi="Times New Roman" w:cs="Times New Roman"/>
          <w:kern w:val="0"/>
          <w14:ligatures w14:val="none"/>
        </w:rPr>
        <w:t xml:space="preserve">were entitled to preemptively ban them. The court did not require evidence of actual disruption and treated school authority as the controlling factor. By contrast, the Supreme Court demanded a higher justification for censorship. It required that any restriction on student speech be based on a reasonable prediction of substantial disruption, not merely on fear of controversy or the desire to avoid political debate. </w:t>
      </w:r>
    </w:p>
    <w:p w14:paraId="6C42BFEA" w14:textId="161626AF" w:rsidR="003819E2" w:rsidRPr="003819E2" w:rsidRDefault="003819E2" w:rsidP="00BB088D">
      <w:pPr>
        <w:spacing w:line="480" w:lineRule="auto"/>
        <w:rPr>
          <w:rFonts w:ascii="Times New Roman" w:hAnsi="Times New Roman" w:cs="Times New Roman"/>
          <w:b/>
          <w:bCs/>
          <w:kern w:val="0"/>
          <w14:ligatures w14:val="none"/>
        </w:rPr>
      </w:pPr>
      <w:r w:rsidRPr="003819E2">
        <w:rPr>
          <w:rFonts w:ascii="Times New Roman" w:hAnsi="Times New Roman" w:cs="Times New Roman"/>
          <w:b/>
          <w:bCs/>
          <w:kern w:val="0"/>
          <w14:ligatures w14:val="none"/>
        </w:rPr>
        <w:t>Eighth Circuit vs. Supreme Court</w:t>
      </w:r>
    </w:p>
    <w:p w14:paraId="4CF4DAD2" w14:textId="00CF7174" w:rsidR="003819E2" w:rsidRDefault="003819E2"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The tie vote in the Eighth Circuit effectively affirmed the district court’s ruling, indicating that a significant number of judges were still inclined to defer to local control. The Supreme Court, however, moved decisively away from such broad deference. It carved out a constitutional standard that prioritized student rights unless the school could show substantial disruption or a violation of rights. </w:t>
      </w:r>
    </w:p>
    <w:p w14:paraId="14750162" w14:textId="2B2E96F4" w:rsidR="003819E2" w:rsidRPr="00A373F7" w:rsidRDefault="003819E2" w:rsidP="00BB088D">
      <w:pPr>
        <w:spacing w:line="480" w:lineRule="auto"/>
        <w:rPr>
          <w:rFonts w:ascii="Times New Roman" w:hAnsi="Times New Roman" w:cs="Times New Roman"/>
          <w:b/>
          <w:bCs/>
          <w:kern w:val="0"/>
          <w14:ligatures w14:val="none"/>
        </w:rPr>
      </w:pPr>
      <w:r w:rsidRPr="00A373F7">
        <w:rPr>
          <w:rFonts w:ascii="Times New Roman" w:hAnsi="Times New Roman" w:cs="Times New Roman"/>
          <w:b/>
          <w:bCs/>
          <w:kern w:val="0"/>
          <w14:ligatures w14:val="none"/>
        </w:rPr>
        <w:t>Majority vs. Dissent at the Supreme Court</w:t>
      </w:r>
    </w:p>
    <w:p w14:paraId="3D49DF03" w14:textId="5AA68CCE" w:rsidR="00A373F7" w:rsidRDefault="00A373F7"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lastRenderedPageBreak/>
        <w:tab/>
        <w:t>Within the Supreme Court itself, the split between the majority and the dissenting justices reflected deeper philosophical differences. The majority viewed schools as institutions that must model constitutional values and prepare students for participatory citizenship, including the capacity to tolerate unpopular speech. The dissenters prioritized discipline, order, and local autonomy, warning that excessive judicial oversight would undermine effective school governance.</w:t>
      </w:r>
      <w:r w:rsidR="003968B6">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As </w:t>
      </w:r>
      <w:proofErr w:type="spellStart"/>
      <w:r>
        <w:rPr>
          <w:rFonts w:ascii="Times New Roman" w:hAnsi="Times New Roman" w:cs="Times New Roman"/>
          <w:kern w:val="0"/>
          <w14:ligatures w14:val="none"/>
        </w:rPr>
        <w:t>Blokhuis</w:t>
      </w:r>
      <w:proofErr w:type="spellEnd"/>
      <w:r>
        <w:rPr>
          <w:rFonts w:ascii="Times New Roman" w:hAnsi="Times New Roman" w:cs="Times New Roman"/>
          <w:kern w:val="0"/>
          <w14:ligatures w14:val="none"/>
        </w:rPr>
        <w:t xml:space="preserve"> et al. (2020) note, </w:t>
      </w:r>
      <w:r w:rsidRPr="00A373F7">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represents a pivotal shift toward recognizing students as rights-bearing individuals rather than passive recipients of state authority. Overall, </w:t>
      </w:r>
      <w:r w:rsidRPr="00A373F7">
        <w:rPr>
          <w:rFonts w:ascii="Times New Roman" w:hAnsi="Times New Roman" w:cs="Times New Roman"/>
          <w:i/>
          <w:iCs/>
          <w:kern w:val="0"/>
          <w14:ligatures w14:val="none"/>
        </w:rPr>
        <w:t>Tinker's</w:t>
      </w:r>
      <w:r>
        <w:rPr>
          <w:rFonts w:ascii="Times New Roman" w:hAnsi="Times New Roman" w:cs="Times New Roman"/>
          <w:kern w:val="0"/>
          <w14:ligatures w14:val="none"/>
        </w:rPr>
        <w:t xml:space="preserve"> progression from the district court to the Supreme Court demonstrates a trend away from unqualified state control over schools and toward a constitutional framework in which students' rights set important boundaries on school power. </w:t>
      </w:r>
    </w:p>
    <w:p w14:paraId="12E47FE7" w14:textId="77FCE3EF" w:rsidR="00A373F7" w:rsidRPr="00C12A64" w:rsidRDefault="00A373F7" w:rsidP="00C12A64">
      <w:pPr>
        <w:spacing w:line="480" w:lineRule="auto"/>
        <w:jc w:val="center"/>
        <w:rPr>
          <w:rFonts w:ascii="Times New Roman" w:hAnsi="Times New Roman" w:cs="Times New Roman"/>
          <w:b/>
          <w:bCs/>
          <w:kern w:val="0"/>
          <w14:ligatures w14:val="none"/>
        </w:rPr>
      </w:pPr>
      <w:r w:rsidRPr="00C12A64">
        <w:rPr>
          <w:rFonts w:ascii="Times New Roman" w:hAnsi="Times New Roman" w:cs="Times New Roman"/>
          <w:b/>
          <w:bCs/>
          <w:kern w:val="0"/>
          <w14:ligatures w14:val="none"/>
        </w:rPr>
        <w:t>A Comparable Situation Today</w:t>
      </w:r>
    </w:p>
    <w:p w14:paraId="02597642" w14:textId="649E7157" w:rsidR="00A373F7" w:rsidRDefault="00A373F7" w:rsidP="00BB088D">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A comparable situation today to </w:t>
      </w:r>
      <w:r w:rsidRPr="00C12A64">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might involve students wearing clothing, pins, or other symbols expressing </w:t>
      </w:r>
      <w:r w:rsidR="00C12A64">
        <w:rPr>
          <w:rFonts w:ascii="Times New Roman" w:hAnsi="Times New Roman" w:cs="Times New Roman"/>
          <w:kern w:val="0"/>
          <w14:ligatures w14:val="none"/>
        </w:rPr>
        <w:t xml:space="preserve">views on controversial social or political issues, such as Black Lives Matter, LGBTQ+ rights, immigration policy, or gun control. For example, imagine students wearing shirts or pins that support a social movement, like those listed earlier, during the school day. If a school district adopted a policy banning these forms of expression solely because they are controversial or may upset some members of the community, such a policy would raise the same constitutional questions as </w:t>
      </w:r>
      <w:r w:rsidR="00C12A64" w:rsidRPr="00C12A64">
        <w:rPr>
          <w:rFonts w:ascii="Times New Roman" w:hAnsi="Times New Roman" w:cs="Times New Roman"/>
          <w:i/>
          <w:iCs/>
          <w:kern w:val="0"/>
          <w14:ligatures w14:val="none"/>
        </w:rPr>
        <w:t>Tinker</w:t>
      </w:r>
      <w:r w:rsidR="00C12A64">
        <w:rPr>
          <w:rFonts w:ascii="Times New Roman" w:hAnsi="Times New Roman" w:cs="Times New Roman"/>
          <w:kern w:val="0"/>
          <w14:ligatures w14:val="none"/>
        </w:rPr>
        <w:t xml:space="preserve">. Under the </w:t>
      </w:r>
      <w:r w:rsidR="00C12A64" w:rsidRPr="00C12A64">
        <w:rPr>
          <w:rFonts w:ascii="Times New Roman" w:hAnsi="Times New Roman" w:cs="Times New Roman"/>
          <w:i/>
          <w:iCs/>
          <w:kern w:val="0"/>
          <w14:ligatures w14:val="none"/>
        </w:rPr>
        <w:t>Tinker</w:t>
      </w:r>
      <w:r w:rsidR="00C12A64">
        <w:rPr>
          <w:rFonts w:ascii="Times New Roman" w:hAnsi="Times New Roman" w:cs="Times New Roman"/>
          <w:kern w:val="0"/>
          <w14:ligatures w14:val="none"/>
        </w:rPr>
        <w:t xml:space="preserve"> standard, the key question </w:t>
      </w:r>
      <w:r w:rsidR="003968B6">
        <w:rPr>
          <w:rFonts w:ascii="Times New Roman" w:hAnsi="Times New Roman" w:cs="Times New Roman"/>
          <w:kern w:val="0"/>
          <w14:ligatures w14:val="none"/>
        </w:rPr>
        <w:t>is</w:t>
      </w:r>
      <w:r w:rsidR="00C12A64">
        <w:rPr>
          <w:rFonts w:ascii="Times New Roman" w:hAnsi="Times New Roman" w:cs="Times New Roman"/>
          <w:kern w:val="0"/>
          <w14:ligatures w14:val="none"/>
        </w:rPr>
        <w:t xml:space="preserve"> whether the expression causes a material and substantial disruption to school activities or infringes on the rights of other students. If the expression remains peaceful and does not interfere with instruction, schools may not suppress it simply to avoid discomfort or disagreement. As educational law texts emphasize, </w:t>
      </w:r>
      <w:r w:rsidR="00C12A64" w:rsidRPr="00C12A64">
        <w:rPr>
          <w:rFonts w:ascii="Times New Roman" w:hAnsi="Times New Roman" w:cs="Times New Roman"/>
          <w:i/>
          <w:iCs/>
          <w:kern w:val="0"/>
          <w14:ligatures w14:val="none"/>
        </w:rPr>
        <w:t>Tinker</w:t>
      </w:r>
      <w:r w:rsidR="00C12A64">
        <w:rPr>
          <w:rFonts w:ascii="Times New Roman" w:hAnsi="Times New Roman" w:cs="Times New Roman"/>
          <w:kern w:val="0"/>
          <w14:ligatures w14:val="none"/>
        </w:rPr>
        <w:t xml:space="preserve"> continues to guide courts in determining when student expression is protected and when school regulations are justified (</w:t>
      </w:r>
      <w:proofErr w:type="spellStart"/>
      <w:r w:rsidR="00C12A64">
        <w:rPr>
          <w:rFonts w:ascii="Times New Roman" w:hAnsi="Times New Roman" w:cs="Times New Roman"/>
          <w:kern w:val="0"/>
          <w14:ligatures w14:val="none"/>
        </w:rPr>
        <w:t>Blokhuis</w:t>
      </w:r>
      <w:proofErr w:type="spellEnd"/>
      <w:r w:rsidR="00C12A64">
        <w:rPr>
          <w:rFonts w:ascii="Times New Roman" w:hAnsi="Times New Roman" w:cs="Times New Roman"/>
          <w:kern w:val="0"/>
          <w14:ligatures w14:val="none"/>
        </w:rPr>
        <w:t xml:space="preserve"> et al., 2020). </w:t>
      </w:r>
    </w:p>
    <w:p w14:paraId="04C50A35" w14:textId="39BE1899" w:rsidR="00944BB5" w:rsidRPr="00944BB5" w:rsidRDefault="00944BB5" w:rsidP="00944BB5">
      <w:pPr>
        <w:spacing w:line="480" w:lineRule="auto"/>
        <w:jc w:val="center"/>
        <w:rPr>
          <w:rFonts w:ascii="Times New Roman" w:hAnsi="Times New Roman" w:cs="Times New Roman"/>
          <w:b/>
          <w:bCs/>
          <w:kern w:val="0"/>
          <w14:ligatures w14:val="none"/>
        </w:rPr>
      </w:pPr>
      <w:r w:rsidRPr="00944BB5">
        <w:rPr>
          <w:rFonts w:ascii="Times New Roman" w:hAnsi="Times New Roman" w:cs="Times New Roman"/>
          <w:b/>
          <w:bCs/>
          <w:kern w:val="0"/>
          <w14:ligatures w14:val="none"/>
        </w:rPr>
        <w:lastRenderedPageBreak/>
        <w:t>Significance of Tinker v. Des Moines</w:t>
      </w:r>
    </w:p>
    <w:p w14:paraId="5E3191CD" w14:textId="6C2F901B" w:rsidR="00944BB5" w:rsidRDefault="00944BB5" w:rsidP="00944BB5">
      <w:pPr>
        <w:spacing w:line="480" w:lineRule="auto"/>
        <w:ind w:firstLine="720"/>
        <w:rPr>
          <w:rFonts w:ascii="Times New Roman" w:hAnsi="Times New Roman" w:cs="Times New Roman"/>
          <w:kern w:val="0"/>
          <w14:ligatures w14:val="none"/>
        </w:rPr>
      </w:pPr>
      <w:r>
        <w:rPr>
          <w:rFonts w:ascii="Times New Roman" w:hAnsi="Times New Roman" w:cs="Times New Roman"/>
          <w:i/>
          <w:iCs/>
          <w:kern w:val="0"/>
          <w14:ligatures w14:val="none"/>
        </w:rPr>
        <w:t>Tinker v. Des Moines Independent Community School District</w:t>
      </w:r>
      <w:r>
        <w:rPr>
          <w:rFonts w:ascii="Times New Roman" w:hAnsi="Times New Roman" w:cs="Times New Roman"/>
          <w:kern w:val="0"/>
          <w14:ligatures w14:val="none"/>
        </w:rPr>
        <w:t xml:space="preserve"> is widely regarded as one of the most important student rights cases in education law. First, it firmly established that students possess First Amendment rights in public schools and that these rights do not vanish upon entering the school building. By </w:t>
      </w:r>
      <w:r w:rsidR="00DD652C">
        <w:rPr>
          <w:rFonts w:ascii="Times New Roman" w:hAnsi="Times New Roman" w:cs="Times New Roman"/>
          <w:kern w:val="0"/>
          <w14:ligatures w14:val="none"/>
        </w:rPr>
        <w:t>treat</w:t>
      </w:r>
      <w:r>
        <w:rPr>
          <w:rFonts w:ascii="Times New Roman" w:hAnsi="Times New Roman" w:cs="Times New Roman"/>
          <w:kern w:val="0"/>
          <w14:ligatures w14:val="none"/>
        </w:rPr>
        <w:t xml:space="preserve">ing students as constitutional actors, the Court reinforced the idea that schools are not exempt from constitutional scrutiny. Second, </w:t>
      </w:r>
      <w:r>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articulated a workable legal standard that continues to shape litigation involving student speech and expression. This standard balances the need for school order and discipline with the protection of fundamental freedoms. The case also has enduring symbolic and educational importance. </w:t>
      </w:r>
      <w:r>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emphasizes that public schools play a crucial role in preparing young students for democratic participation, including learning to tolerate dissent and controversy. By protecting a peaceful anti-war protest by teenagers, the Court sent a powerful message about the value of civic engagement and the importance of constitutional principles in daily institutional operations. Lastly, </w:t>
      </w:r>
      <w:r w:rsidRPr="00DD652C">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serves as a reference point for subsequent Supreme Court decisions that have carved out exceptions to student speech rights. Even when the Court </w:t>
      </w:r>
      <w:r w:rsidR="00DD652C">
        <w:rPr>
          <w:rFonts w:ascii="Times New Roman" w:hAnsi="Times New Roman" w:cs="Times New Roman"/>
          <w:kern w:val="0"/>
          <w14:ligatures w14:val="none"/>
        </w:rPr>
        <w:t xml:space="preserve">has limited student expression in particular contexts, it has often done so by distinguishing those circumstances from </w:t>
      </w:r>
      <w:r w:rsidR="00DD652C" w:rsidRPr="00DD652C">
        <w:rPr>
          <w:rFonts w:ascii="Times New Roman" w:hAnsi="Times New Roman" w:cs="Times New Roman"/>
          <w:i/>
          <w:iCs/>
          <w:kern w:val="0"/>
          <w14:ligatures w14:val="none"/>
        </w:rPr>
        <w:t>Tinker</w:t>
      </w:r>
      <w:r w:rsidR="00DD652C">
        <w:rPr>
          <w:rFonts w:ascii="Times New Roman" w:hAnsi="Times New Roman" w:cs="Times New Roman"/>
          <w:kern w:val="0"/>
          <w14:ligatures w14:val="none"/>
        </w:rPr>
        <w:t xml:space="preserve"> rather than rejecting its core holding. This demonstrates the case’s lasting influence on the relationship between student rights and state control over schools. </w:t>
      </w:r>
    </w:p>
    <w:p w14:paraId="2A5B9855" w14:textId="64AB31DB" w:rsidR="00DD652C" w:rsidRPr="00DD652C" w:rsidRDefault="00DD652C" w:rsidP="00DD652C">
      <w:pPr>
        <w:spacing w:line="480" w:lineRule="auto"/>
        <w:jc w:val="center"/>
        <w:rPr>
          <w:rFonts w:ascii="Times New Roman" w:hAnsi="Times New Roman" w:cs="Times New Roman"/>
          <w:b/>
          <w:bCs/>
          <w:kern w:val="0"/>
          <w14:ligatures w14:val="none"/>
        </w:rPr>
      </w:pPr>
      <w:r w:rsidRPr="00DD652C">
        <w:rPr>
          <w:rFonts w:ascii="Times New Roman" w:hAnsi="Times New Roman" w:cs="Times New Roman"/>
          <w:b/>
          <w:bCs/>
          <w:kern w:val="0"/>
          <w14:ligatures w14:val="none"/>
        </w:rPr>
        <w:t>Conclusion</w:t>
      </w:r>
    </w:p>
    <w:p w14:paraId="3FC5660E" w14:textId="3C0C0FA0" w:rsidR="00DD652C" w:rsidRDefault="008E0B03" w:rsidP="00DD652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r>
      <w:r>
        <w:rPr>
          <w:rFonts w:ascii="Times New Roman" w:hAnsi="Times New Roman" w:cs="Times New Roman"/>
          <w:i/>
          <w:iCs/>
          <w:kern w:val="0"/>
          <w14:ligatures w14:val="none"/>
        </w:rPr>
        <w:t>Tinker v. Des Moines Independent Community School District</w:t>
      </w:r>
      <w:r>
        <w:rPr>
          <w:rFonts w:ascii="Times New Roman" w:hAnsi="Times New Roman" w:cs="Times New Roman"/>
          <w:kern w:val="0"/>
          <w14:ligatures w14:val="none"/>
        </w:rPr>
        <w:t xml:space="preserve"> transformed the legal landscape of public education by affirming that students retain their First Amendment rights at school and by defining the limits of state and local authority over student expression. The case began with a small group of students wearing black armbands to protest the Vietnam War and, </w:t>
      </w:r>
      <w:r>
        <w:rPr>
          <w:rFonts w:ascii="Times New Roman" w:hAnsi="Times New Roman" w:cs="Times New Roman"/>
          <w:kern w:val="0"/>
          <w14:ligatures w14:val="none"/>
        </w:rPr>
        <w:lastRenderedPageBreak/>
        <w:t xml:space="preserve">after the district court and a divided Eighth Circuit, culminated in a landmark Supreme Court decision. In the Supreme Court, the majority held that schools could not suppress symbolic student speech without evidence of substantial disruption or an invasion of others' rights. This ruling substantially constrained state control over schools by requiring that disciplinary policies conform to constitutional principles. Today, comparable situations, such as student expression related to social justice movements or political controversies, continue to invoke the </w:t>
      </w:r>
      <w:r>
        <w:rPr>
          <w:rFonts w:ascii="Times New Roman" w:hAnsi="Times New Roman" w:cs="Times New Roman"/>
          <w:i/>
          <w:iCs/>
          <w:kern w:val="0"/>
          <w14:ligatures w14:val="none"/>
        </w:rPr>
        <w:t>Tinker</w:t>
      </w:r>
      <w:r>
        <w:rPr>
          <w:rFonts w:ascii="Times New Roman" w:hAnsi="Times New Roman" w:cs="Times New Roman"/>
          <w:kern w:val="0"/>
          <w14:ligatures w14:val="none"/>
        </w:rPr>
        <w:t xml:space="preserve"> </w:t>
      </w:r>
      <w:proofErr w:type="gramStart"/>
      <w:r>
        <w:rPr>
          <w:rFonts w:ascii="Times New Roman" w:hAnsi="Times New Roman" w:cs="Times New Roman"/>
          <w:kern w:val="0"/>
          <w14:ligatures w14:val="none"/>
        </w:rPr>
        <w:t>standard</w:t>
      </w:r>
      <w:proofErr w:type="gramEnd"/>
      <w:r>
        <w:rPr>
          <w:rFonts w:ascii="Times New Roman" w:hAnsi="Times New Roman" w:cs="Times New Roman"/>
          <w:kern w:val="0"/>
          <w14:ligatures w14:val="none"/>
        </w:rPr>
        <w:t xml:space="preserve"> and illustrate the decision’s ongoing relevance. The case is considered a cornerstone of education law because it recognizes students as rights-bearing individuals, establishes a durable test for evaluating school restrictions on speech, and affirms the central role of public schools in nurturing values. </w:t>
      </w:r>
    </w:p>
    <w:p w14:paraId="314CC704" w14:textId="697BAF4E" w:rsidR="008E0B03" w:rsidRDefault="008E0B03">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49012EC8" w14:textId="684070FA" w:rsidR="008E0B03" w:rsidRDefault="008E0B03" w:rsidP="008E0B03">
      <w:pPr>
        <w:spacing w:line="480" w:lineRule="auto"/>
        <w:jc w:val="center"/>
        <w:rPr>
          <w:rFonts w:ascii="Times New Roman" w:hAnsi="Times New Roman" w:cs="Times New Roman"/>
          <w:b/>
          <w:bCs/>
          <w:kern w:val="0"/>
          <w14:ligatures w14:val="none"/>
        </w:rPr>
      </w:pPr>
      <w:r>
        <w:rPr>
          <w:rFonts w:ascii="Times New Roman" w:hAnsi="Times New Roman" w:cs="Times New Roman"/>
          <w:b/>
          <w:bCs/>
          <w:kern w:val="0"/>
          <w14:ligatures w14:val="none"/>
        </w:rPr>
        <w:lastRenderedPageBreak/>
        <w:t>References</w:t>
      </w:r>
    </w:p>
    <w:p w14:paraId="458616F3" w14:textId="14F1D52D" w:rsidR="008E0B03" w:rsidRPr="008E0B03" w:rsidRDefault="008E0B03" w:rsidP="008E0B03">
      <w:pPr>
        <w:pStyle w:val="NormalWeb"/>
        <w:spacing w:before="0" w:beforeAutospacing="0" w:after="0" w:afterAutospacing="0" w:line="480" w:lineRule="auto"/>
        <w:ind w:left="720" w:hanging="720"/>
      </w:pPr>
      <w:proofErr w:type="spellStart"/>
      <w:r>
        <w:t>Blokhuis</w:t>
      </w:r>
      <w:proofErr w:type="spellEnd"/>
      <w:r>
        <w:t xml:space="preserve">, J. C., Feldman, J., </w:t>
      </w:r>
      <w:proofErr w:type="spellStart"/>
      <w:r>
        <w:t>Imber</w:t>
      </w:r>
      <w:proofErr w:type="spellEnd"/>
      <w:r>
        <w:t xml:space="preserve">, M., &amp; Van </w:t>
      </w:r>
      <w:proofErr w:type="spellStart"/>
      <w:r>
        <w:t>Geel</w:t>
      </w:r>
      <w:proofErr w:type="spellEnd"/>
      <w:r>
        <w:t xml:space="preserve">, T. (2020). </w:t>
      </w:r>
      <w:r>
        <w:rPr>
          <w:i/>
          <w:iCs/>
        </w:rPr>
        <w:t>Education Law</w:t>
      </w:r>
      <w:r>
        <w:t>. Routledge.</w:t>
      </w:r>
    </w:p>
    <w:p w14:paraId="67244AFB" w14:textId="08A5E709" w:rsidR="008E0B03" w:rsidRDefault="008E0B03" w:rsidP="008E0B03">
      <w:pPr>
        <w:pStyle w:val="NormalWeb"/>
        <w:spacing w:before="0" w:beforeAutospacing="0" w:after="0" w:afterAutospacing="0" w:line="480" w:lineRule="auto"/>
        <w:ind w:left="720" w:hanging="720"/>
      </w:pPr>
      <w:bookmarkStart w:id="8" w:name="OLE_LINK7"/>
      <w:bookmarkStart w:id="9" w:name="OLE_LINK8"/>
      <w:r>
        <w:rPr>
          <w:i/>
          <w:iCs/>
        </w:rPr>
        <w:t>Tinker v. Des Moines Independent Community School District, 393 U.S. 503 (1969)</w:t>
      </w:r>
      <w:r>
        <w:t xml:space="preserve">. (n.d.). </w:t>
      </w:r>
      <w:proofErr w:type="spellStart"/>
      <w:r>
        <w:t>Justia</w:t>
      </w:r>
      <w:proofErr w:type="spellEnd"/>
      <w:r>
        <w:t xml:space="preserve"> Law. </w:t>
      </w:r>
      <w:hyperlink r:id="rId6" w:anchor="tab-opinion-1947775" w:history="1">
        <w:r w:rsidRPr="002338B1">
          <w:rPr>
            <w:rStyle w:val="Hyperlink"/>
            <w:rFonts w:eastAsiaTheme="majorEastAsia"/>
          </w:rPr>
          <w:t>https://supreme.justia.com/cases/federal/us/393/503/#tab-opinion-1947775</w:t>
        </w:r>
      </w:hyperlink>
      <w:bookmarkEnd w:id="8"/>
      <w:bookmarkEnd w:id="9"/>
      <w:r>
        <w:rPr>
          <w:rStyle w:val="url"/>
          <w:rFonts w:eastAsiaTheme="majorEastAsia"/>
        </w:rPr>
        <w:t xml:space="preserve"> </w:t>
      </w:r>
    </w:p>
    <w:p w14:paraId="7AA65A3A" w14:textId="179407B7" w:rsidR="008E0B03" w:rsidRDefault="008E0B03" w:rsidP="008E0B03">
      <w:pPr>
        <w:pStyle w:val="NormalWeb"/>
        <w:spacing w:before="0" w:beforeAutospacing="0" w:after="0" w:afterAutospacing="0" w:line="480" w:lineRule="auto"/>
        <w:ind w:left="720" w:hanging="720"/>
      </w:pPr>
      <w:r>
        <w:rPr>
          <w:i/>
          <w:iCs/>
        </w:rPr>
        <w:t>Tinker v. Des Moines Independent Community School District</w:t>
      </w:r>
      <w:r>
        <w:t xml:space="preserve">. (n.d.). Oyez. </w:t>
      </w:r>
      <w:hyperlink r:id="rId7" w:history="1">
        <w:r w:rsidRPr="002338B1">
          <w:rPr>
            <w:rStyle w:val="Hyperlink"/>
            <w:rFonts w:eastAsiaTheme="majorEastAsia"/>
          </w:rPr>
          <w:t>https://www.oyez.org/cases/1968/21</w:t>
        </w:r>
      </w:hyperlink>
      <w:r>
        <w:rPr>
          <w:rStyle w:val="url"/>
          <w:rFonts w:eastAsiaTheme="majorEastAsia"/>
        </w:rPr>
        <w:t xml:space="preserve"> </w:t>
      </w:r>
    </w:p>
    <w:p w14:paraId="76B3EA17" w14:textId="77777777" w:rsidR="008E0B03" w:rsidRPr="008E0B03" w:rsidRDefault="008E0B03" w:rsidP="008E0B03">
      <w:pPr>
        <w:spacing w:line="480" w:lineRule="auto"/>
        <w:rPr>
          <w:rFonts w:ascii="Times New Roman" w:hAnsi="Times New Roman" w:cs="Times New Roman"/>
          <w:kern w:val="0"/>
          <w14:ligatures w14:val="none"/>
        </w:rPr>
      </w:pPr>
    </w:p>
    <w:sectPr w:rsidR="008E0B03" w:rsidRPr="008E0B03">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D8919" w14:textId="77777777" w:rsidR="00384882" w:rsidRDefault="00384882" w:rsidP="008E0B03">
      <w:r>
        <w:separator/>
      </w:r>
    </w:p>
  </w:endnote>
  <w:endnote w:type="continuationSeparator" w:id="0">
    <w:p w14:paraId="0F4CBE3F" w14:textId="77777777" w:rsidR="00384882" w:rsidRDefault="00384882" w:rsidP="008E0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1298B" w14:textId="77777777" w:rsidR="00384882" w:rsidRDefault="00384882" w:rsidP="008E0B03">
      <w:r>
        <w:separator/>
      </w:r>
    </w:p>
  </w:footnote>
  <w:footnote w:type="continuationSeparator" w:id="0">
    <w:p w14:paraId="02F35F56" w14:textId="77777777" w:rsidR="00384882" w:rsidRDefault="00384882" w:rsidP="008E0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4888382"/>
      <w:docPartObj>
        <w:docPartGallery w:val="Page Numbers (Top of Page)"/>
        <w:docPartUnique/>
      </w:docPartObj>
    </w:sdtPr>
    <w:sdtContent>
      <w:p w14:paraId="5A3F8CFF" w14:textId="4DD398E5" w:rsidR="008E0B03" w:rsidRDefault="008E0B03" w:rsidP="002338B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E81104" w14:textId="77777777" w:rsidR="008E0B03" w:rsidRDefault="008E0B03" w:rsidP="008E0B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1050373"/>
      <w:docPartObj>
        <w:docPartGallery w:val="Page Numbers (Top of Page)"/>
        <w:docPartUnique/>
      </w:docPartObj>
    </w:sdtPr>
    <w:sdtContent>
      <w:p w14:paraId="2314351D" w14:textId="4A757100" w:rsidR="008E0B03" w:rsidRDefault="008E0B03" w:rsidP="002338B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4DAB6A66" w14:textId="79B385E1" w:rsidR="008E0B03" w:rsidRDefault="008E0B03" w:rsidP="008E0B03">
    <w:pPr>
      <w:pStyle w:val="Header"/>
      <w:ind w:right="360"/>
    </w:pPr>
    <w:r>
      <w:t>STUDENT SPEECH IN SCHOOLS</w:t>
    </w:r>
  </w:p>
  <w:p w14:paraId="44210760" w14:textId="77777777" w:rsidR="008E0B03" w:rsidRDefault="008E0B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8D"/>
    <w:rsid w:val="0001655C"/>
    <w:rsid w:val="001B09DE"/>
    <w:rsid w:val="003819E2"/>
    <w:rsid w:val="00384882"/>
    <w:rsid w:val="003968B6"/>
    <w:rsid w:val="003B76E9"/>
    <w:rsid w:val="004F048E"/>
    <w:rsid w:val="00610749"/>
    <w:rsid w:val="00725E99"/>
    <w:rsid w:val="00786E3F"/>
    <w:rsid w:val="007B11B2"/>
    <w:rsid w:val="007C3964"/>
    <w:rsid w:val="008644D0"/>
    <w:rsid w:val="008E0B03"/>
    <w:rsid w:val="00944BB5"/>
    <w:rsid w:val="0097739C"/>
    <w:rsid w:val="00A373F7"/>
    <w:rsid w:val="00A96C95"/>
    <w:rsid w:val="00BB088D"/>
    <w:rsid w:val="00C12A64"/>
    <w:rsid w:val="00C37325"/>
    <w:rsid w:val="00C67036"/>
    <w:rsid w:val="00CF3293"/>
    <w:rsid w:val="00D75399"/>
    <w:rsid w:val="00DD652C"/>
    <w:rsid w:val="00EF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A995E9"/>
  <w15:chartTrackingRefBased/>
  <w15:docId w15:val="{EFA70FF6-7AEE-5F4D-8CBF-98FDD4F7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8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8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8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8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88D"/>
    <w:rPr>
      <w:rFonts w:eastAsiaTheme="majorEastAsia" w:cstheme="majorBidi"/>
      <w:color w:val="272727" w:themeColor="text1" w:themeTint="D8"/>
    </w:rPr>
  </w:style>
  <w:style w:type="paragraph" w:styleId="Title">
    <w:name w:val="Title"/>
    <w:basedOn w:val="Normal"/>
    <w:next w:val="Normal"/>
    <w:link w:val="TitleChar"/>
    <w:uiPriority w:val="10"/>
    <w:qFormat/>
    <w:rsid w:val="00BB08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8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8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088D"/>
    <w:rPr>
      <w:i/>
      <w:iCs/>
      <w:color w:val="404040" w:themeColor="text1" w:themeTint="BF"/>
    </w:rPr>
  </w:style>
  <w:style w:type="paragraph" w:styleId="ListParagraph">
    <w:name w:val="List Paragraph"/>
    <w:basedOn w:val="Normal"/>
    <w:uiPriority w:val="34"/>
    <w:qFormat/>
    <w:rsid w:val="00BB088D"/>
    <w:pPr>
      <w:ind w:left="720"/>
      <w:contextualSpacing/>
    </w:pPr>
  </w:style>
  <w:style w:type="character" w:styleId="IntenseEmphasis">
    <w:name w:val="Intense Emphasis"/>
    <w:basedOn w:val="DefaultParagraphFont"/>
    <w:uiPriority w:val="21"/>
    <w:qFormat/>
    <w:rsid w:val="00BB088D"/>
    <w:rPr>
      <w:i/>
      <w:iCs/>
      <w:color w:val="0F4761" w:themeColor="accent1" w:themeShade="BF"/>
    </w:rPr>
  </w:style>
  <w:style w:type="paragraph" w:styleId="IntenseQuote">
    <w:name w:val="Intense Quote"/>
    <w:basedOn w:val="Normal"/>
    <w:next w:val="Normal"/>
    <w:link w:val="IntenseQuoteChar"/>
    <w:uiPriority w:val="30"/>
    <w:qFormat/>
    <w:rsid w:val="00BB0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88D"/>
    <w:rPr>
      <w:i/>
      <w:iCs/>
      <w:color w:val="0F4761" w:themeColor="accent1" w:themeShade="BF"/>
    </w:rPr>
  </w:style>
  <w:style w:type="character" w:styleId="IntenseReference">
    <w:name w:val="Intense Reference"/>
    <w:basedOn w:val="DefaultParagraphFont"/>
    <w:uiPriority w:val="32"/>
    <w:qFormat/>
    <w:rsid w:val="00BB088D"/>
    <w:rPr>
      <w:b/>
      <w:bCs/>
      <w:smallCaps/>
      <w:color w:val="0F4761" w:themeColor="accent1" w:themeShade="BF"/>
      <w:spacing w:val="5"/>
    </w:rPr>
  </w:style>
  <w:style w:type="paragraph" w:styleId="Header">
    <w:name w:val="header"/>
    <w:basedOn w:val="Normal"/>
    <w:link w:val="HeaderChar"/>
    <w:uiPriority w:val="99"/>
    <w:unhideWhenUsed/>
    <w:rsid w:val="008E0B03"/>
    <w:pPr>
      <w:tabs>
        <w:tab w:val="center" w:pos="4680"/>
        <w:tab w:val="right" w:pos="9360"/>
      </w:tabs>
    </w:pPr>
  </w:style>
  <w:style w:type="character" w:customStyle="1" w:styleId="HeaderChar">
    <w:name w:val="Header Char"/>
    <w:basedOn w:val="DefaultParagraphFont"/>
    <w:link w:val="Header"/>
    <w:uiPriority w:val="99"/>
    <w:rsid w:val="008E0B03"/>
  </w:style>
  <w:style w:type="paragraph" w:styleId="Footer">
    <w:name w:val="footer"/>
    <w:basedOn w:val="Normal"/>
    <w:link w:val="FooterChar"/>
    <w:uiPriority w:val="99"/>
    <w:unhideWhenUsed/>
    <w:rsid w:val="008E0B03"/>
    <w:pPr>
      <w:tabs>
        <w:tab w:val="center" w:pos="4680"/>
        <w:tab w:val="right" w:pos="9360"/>
      </w:tabs>
    </w:pPr>
  </w:style>
  <w:style w:type="character" w:customStyle="1" w:styleId="FooterChar">
    <w:name w:val="Footer Char"/>
    <w:basedOn w:val="DefaultParagraphFont"/>
    <w:link w:val="Footer"/>
    <w:uiPriority w:val="99"/>
    <w:rsid w:val="008E0B03"/>
  </w:style>
  <w:style w:type="character" w:styleId="PageNumber">
    <w:name w:val="page number"/>
    <w:basedOn w:val="DefaultParagraphFont"/>
    <w:uiPriority w:val="99"/>
    <w:semiHidden/>
    <w:unhideWhenUsed/>
    <w:rsid w:val="008E0B03"/>
  </w:style>
  <w:style w:type="paragraph" w:styleId="NormalWeb">
    <w:name w:val="Normal (Web)"/>
    <w:basedOn w:val="Normal"/>
    <w:uiPriority w:val="99"/>
    <w:semiHidden/>
    <w:unhideWhenUsed/>
    <w:rsid w:val="008E0B03"/>
    <w:pPr>
      <w:spacing w:before="100" w:beforeAutospacing="1" w:after="100" w:afterAutospacing="1"/>
    </w:pPr>
    <w:rPr>
      <w:rFonts w:ascii="Times New Roman" w:eastAsia="Times New Roman" w:hAnsi="Times New Roman" w:cs="Times New Roman"/>
      <w:kern w:val="0"/>
      <w14:ligatures w14:val="none"/>
    </w:rPr>
  </w:style>
  <w:style w:type="character" w:customStyle="1" w:styleId="url">
    <w:name w:val="url"/>
    <w:basedOn w:val="DefaultParagraphFont"/>
    <w:rsid w:val="008E0B03"/>
  </w:style>
  <w:style w:type="character" w:styleId="Hyperlink">
    <w:name w:val="Hyperlink"/>
    <w:basedOn w:val="DefaultParagraphFont"/>
    <w:uiPriority w:val="99"/>
    <w:unhideWhenUsed/>
    <w:rsid w:val="008E0B03"/>
    <w:rPr>
      <w:color w:val="467886" w:themeColor="hyperlink"/>
      <w:u w:val="single"/>
    </w:rPr>
  </w:style>
  <w:style w:type="character" w:styleId="UnresolvedMention">
    <w:name w:val="Unresolved Mention"/>
    <w:basedOn w:val="DefaultParagraphFont"/>
    <w:uiPriority w:val="99"/>
    <w:semiHidden/>
    <w:unhideWhenUsed/>
    <w:rsid w:val="008E0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38290">
      <w:bodyDiv w:val="1"/>
      <w:marLeft w:val="0"/>
      <w:marRight w:val="0"/>
      <w:marTop w:val="0"/>
      <w:marBottom w:val="0"/>
      <w:divBdr>
        <w:top w:val="none" w:sz="0" w:space="0" w:color="auto"/>
        <w:left w:val="none" w:sz="0" w:space="0" w:color="auto"/>
        <w:bottom w:val="none" w:sz="0" w:space="0" w:color="auto"/>
        <w:right w:val="none" w:sz="0" w:space="0" w:color="auto"/>
      </w:divBdr>
      <w:divsChild>
        <w:div w:id="809632502">
          <w:marLeft w:val="-720"/>
          <w:marRight w:val="0"/>
          <w:marTop w:val="0"/>
          <w:marBottom w:val="0"/>
          <w:divBdr>
            <w:top w:val="none" w:sz="0" w:space="0" w:color="auto"/>
            <w:left w:val="none" w:sz="0" w:space="0" w:color="auto"/>
            <w:bottom w:val="none" w:sz="0" w:space="0" w:color="auto"/>
            <w:right w:val="none" w:sz="0" w:space="0" w:color="auto"/>
          </w:divBdr>
        </w:div>
      </w:divsChild>
    </w:div>
    <w:div w:id="493448163">
      <w:bodyDiv w:val="1"/>
      <w:marLeft w:val="0"/>
      <w:marRight w:val="0"/>
      <w:marTop w:val="0"/>
      <w:marBottom w:val="0"/>
      <w:divBdr>
        <w:top w:val="none" w:sz="0" w:space="0" w:color="auto"/>
        <w:left w:val="none" w:sz="0" w:space="0" w:color="auto"/>
        <w:bottom w:val="none" w:sz="0" w:space="0" w:color="auto"/>
        <w:right w:val="none" w:sz="0" w:space="0" w:color="auto"/>
      </w:divBdr>
      <w:divsChild>
        <w:div w:id="1215042869">
          <w:marLeft w:val="-720"/>
          <w:marRight w:val="0"/>
          <w:marTop w:val="0"/>
          <w:marBottom w:val="0"/>
          <w:divBdr>
            <w:top w:val="none" w:sz="0" w:space="0" w:color="auto"/>
            <w:left w:val="none" w:sz="0" w:space="0" w:color="auto"/>
            <w:bottom w:val="none" w:sz="0" w:space="0" w:color="auto"/>
            <w:right w:val="none" w:sz="0" w:space="0" w:color="auto"/>
          </w:divBdr>
        </w:div>
      </w:divsChild>
    </w:div>
    <w:div w:id="1504708266">
      <w:bodyDiv w:val="1"/>
      <w:marLeft w:val="0"/>
      <w:marRight w:val="0"/>
      <w:marTop w:val="0"/>
      <w:marBottom w:val="0"/>
      <w:divBdr>
        <w:top w:val="none" w:sz="0" w:space="0" w:color="auto"/>
        <w:left w:val="none" w:sz="0" w:space="0" w:color="auto"/>
        <w:bottom w:val="none" w:sz="0" w:space="0" w:color="auto"/>
        <w:right w:val="none" w:sz="0" w:space="0" w:color="auto"/>
      </w:divBdr>
      <w:divsChild>
        <w:div w:id="22237884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yez.org/cases/1968/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reme.justia.com/cases/federal/us/393/50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2251</Words>
  <Characters>12833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kennelly1</dc:creator>
  <cp:keywords/>
  <dc:description/>
  <cp:lastModifiedBy>abigail kennelly1</cp:lastModifiedBy>
  <cp:revision>3</cp:revision>
  <cp:lastPrinted>2026-05-14T18:35:00Z</cp:lastPrinted>
  <dcterms:created xsi:type="dcterms:W3CDTF">2026-05-16T14:17:00Z</dcterms:created>
  <dcterms:modified xsi:type="dcterms:W3CDTF">2026-05-26T20:46:00Z</dcterms:modified>
</cp:coreProperties>
</file>